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6903" w14:textId="40185CC7" w:rsidR="004529FB" w:rsidRDefault="004529FB" w:rsidP="001403BD">
      <w:pPr>
        <w:jc w:val="center"/>
      </w:pPr>
      <w:r>
        <w:t>SCATTO D’ATTO 2025</w:t>
      </w:r>
    </w:p>
    <w:p w14:paraId="2B61F2D6" w14:textId="7DB0DE84" w:rsidR="005D0E77" w:rsidRDefault="004529FB" w:rsidP="001403BD">
      <w:pPr>
        <w:jc w:val="center"/>
      </w:pPr>
      <w:r>
        <w:t>SCUOLA FORENSE VENEZIANA - FONDAZIONE FELICIANO BENVENUTI</w:t>
      </w:r>
    </w:p>
    <w:p w14:paraId="20E79B0F" w14:textId="0CF3E54D" w:rsidR="004529FB" w:rsidRDefault="004529FB" w:rsidP="001403BD">
      <w:pPr>
        <w:jc w:val="center"/>
      </w:pPr>
      <w:r>
        <w:t>TRACCIA DI DIRITTO PENALE</w:t>
      </w:r>
    </w:p>
    <w:p w14:paraId="499F99FD" w14:textId="54A64B71" w:rsidR="004529FB" w:rsidRDefault="00B16087" w:rsidP="004529FB">
      <w:pPr>
        <w:jc w:val="both"/>
      </w:pPr>
      <w:r>
        <w:t xml:space="preserve">La sera del </w:t>
      </w:r>
      <w:r w:rsidR="00011C0A">
        <w:t>14 gennaio 2</w:t>
      </w:r>
      <w:r w:rsidR="000E2005">
        <w:t xml:space="preserve">024 a Venezia, </w:t>
      </w:r>
      <w:r w:rsidR="004529FB">
        <w:t xml:space="preserve">Tizio, giovane guardia giurata, </w:t>
      </w:r>
      <w:r w:rsidR="00E3123F">
        <w:t xml:space="preserve">uccideva </w:t>
      </w:r>
      <w:r w:rsidR="001403BD">
        <w:t xml:space="preserve">- </w:t>
      </w:r>
      <w:r w:rsidR="0052781B">
        <w:t>sparando</w:t>
      </w:r>
      <w:r w:rsidR="00E3123F">
        <w:t xml:space="preserve"> diversi colpi con la pistola di servizio </w:t>
      </w:r>
      <w:r w:rsidR="001403BD">
        <w:t xml:space="preserve">- </w:t>
      </w:r>
      <w:r w:rsidR="0052781B">
        <w:t xml:space="preserve">l’ex fidanzata Caia, </w:t>
      </w:r>
      <w:r w:rsidR="004529FB">
        <w:t xml:space="preserve">a seguito dell’ennesimo </w:t>
      </w:r>
      <w:r w:rsidR="0047669C">
        <w:t>rifiuto</w:t>
      </w:r>
      <w:r w:rsidR="004529FB">
        <w:t xml:space="preserve"> </w:t>
      </w:r>
      <w:r w:rsidR="0052781B">
        <w:t xml:space="preserve">opposto dalla stessa </w:t>
      </w:r>
      <w:r w:rsidR="004529FB">
        <w:t>a</w:t>
      </w:r>
      <w:r w:rsidR="00D06446">
        <w:t>lle pressanti insistenze affinché</w:t>
      </w:r>
      <w:r w:rsidR="004529FB">
        <w:t xml:space="preserve"> ritorna</w:t>
      </w:r>
      <w:r w:rsidR="00D06446">
        <w:t>sse</w:t>
      </w:r>
      <w:r w:rsidR="004529FB">
        <w:t xml:space="preserve"> insieme a lui.</w:t>
      </w:r>
    </w:p>
    <w:p w14:paraId="056FC18E" w14:textId="7FFF0A1D" w:rsidR="004529FB" w:rsidRDefault="008C7B4E" w:rsidP="004529FB">
      <w:pPr>
        <w:jc w:val="both"/>
      </w:pPr>
      <w:r>
        <w:t>L</w:t>
      </w:r>
      <w:r w:rsidR="006C4F03">
        <w:t xml:space="preserve">’omicida </w:t>
      </w:r>
      <w:r w:rsidR="004529FB">
        <w:t xml:space="preserve">si dava </w:t>
      </w:r>
      <w:r>
        <w:t xml:space="preserve">subito </w:t>
      </w:r>
      <w:r w:rsidR="004529FB">
        <w:t>alla fuga, venendo rintracciato</w:t>
      </w:r>
      <w:r w:rsidR="000C4D4A">
        <w:t xml:space="preserve"> dalle forze dell’ordine</w:t>
      </w:r>
      <w:r w:rsidR="004529FB">
        <w:t xml:space="preserve"> </w:t>
      </w:r>
      <w:r w:rsidR="00A41854">
        <w:t xml:space="preserve">solo </w:t>
      </w:r>
      <w:r w:rsidR="004529FB">
        <w:t xml:space="preserve">diversi giorni </w:t>
      </w:r>
      <w:r w:rsidR="00A41854">
        <w:t>dopo</w:t>
      </w:r>
      <w:r w:rsidR="000C4D4A">
        <w:t xml:space="preserve"> </w:t>
      </w:r>
      <w:r w:rsidR="006C4F03">
        <w:t>i fatti</w:t>
      </w:r>
      <w:r w:rsidR="004529FB">
        <w:t>.</w:t>
      </w:r>
    </w:p>
    <w:p w14:paraId="38190FC9" w14:textId="697D61A9" w:rsidR="004529FB" w:rsidRDefault="004529FB" w:rsidP="004529FB">
      <w:pPr>
        <w:jc w:val="both"/>
      </w:pPr>
      <w:r>
        <w:t>La vicenda acquisiva da subito gran</w:t>
      </w:r>
      <w:r w:rsidR="00A41854">
        <w:t>de</w:t>
      </w:r>
      <w:r>
        <w:t xml:space="preserve"> interesse mediatico</w:t>
      </w:r>
      <w:r w:rsidR="000A76FE">
        <w:t xml:space="preserve"> </w:t>
      </w:r>
      <w:r w:rsidR="00894AC7">
        <w:t>a livello locale e</w:t>
      </w:r>
      <w:r w:rsidR="000A76FE">
        <w:t xml:space="preserve"> nazionale</w:t>
      </w:r>
      <w:r w:rsidR="00AD77D1">
        <w:t xml:space="preserve">: </w:t>
      </w:r>
      <w:r w:rsidR="00302DC1">
        <w:t xml:space="preserve">oltre </w:t>
      </w:r>
      <w:r w:rsidR="00C56170">
        <w:t xml:space="preserve">agli aggiornamenti in merito </w:t>
      </w:r>
      <w:r w:rsidR="00302DC1">
        <w:t>alle ricerche di Tizio</w:t>
      </w:r>
      <w:r w:rsidR="00C56170">
        <w:t>, venivano</w:t>
      </w:r>
      <w:r w:rsidR="00DC54AE">
        <w:t xml:space="preserve"> pubblicate</w:t>
      </w:r>
      <w:r w:rsidR="000C4D4A">
        <w:t xml:space="preserve"> </w:t>
      </w:r>
      <w:r w:rsidR="000A76FE">
        <w:t xml:space="preserve">pressoché quotidianamente </w:t>
      </w:r>
      <w:r w:rsidR="000C4D4A">
        <w:t>numerose</w:t>
      </w:r>
      <w:r w:rsidR="00DC54AE">
        <w:t xml:space="preserve"> interviste ai familiari della vittima, ai genitori di Tizio</w:t>
      </w:r>
      <w:r w:rsidR="000C4D4A">
        <w:t xml:space="preserve"> </w:t>
      </w:r>
      <w:r w:rsidR="00DC54AE">
        <w:t>e ai rispettivi difensori</w:t>
      </w:r>
      <w:r w:rsidR="00993BD0">
        <w:t xml:space="preserve">, </w:t>
      </w:r>
      <w:r w:rsidR="00033A95">
        <w:t xml:space="preserve">agli amici </w:t>
      </w:r>
      <w:r w:rsidR="005C3CB7">
        <w:t>d</w:t>
      </w:r>
      <w:r w:rsidR="00D32BD4">
        <w:t>i Caia e di Tizio</w:t>
      </w:r>
      <w:r w:rsidR="00315329">
        <w:t xml:space="preserve">, </w:t>
      </w:r>
      <w:r w:rsidR="005C5AB1">
        <w:t xml:space="preserve">e </w:t>
      </w:r>
      <w:r w:rsidR="00315329">
        <w:t xml:space="preserve">venivano </w:t>
      </w:r>
      <w:r w:rsidR="005C5AB1">
        <w:t xml:space="preserve">altresì </w:t>
      </w:r>
      <w:r w:rsidR="00315329">
        <w:t>pubblicat</w:t>
      </w:r>
      <w:r w:rsidR="00352ADD">
        <w:t>i</w:t>
      </w:r>
      <w:r w:rsidR="00315329">
        <w:t xml:space="preserve"> chat e messaggi audio</w:t>
      </w:r>
      <w:r w:rsidR="00C81DD5">
        <w:t xml:space="preserve"> </w:t>
      </w:r>
      <w:r w:rsidR="00352ADD">
        <w:t xml:space="preserve">dei due ragazzi </w:t>
      </w:r>
      <w:r w:rsidR="00DE48EA">
        <w:t xml:space="preserve">che documentavano </w:t>
      </w:r>
      <w:r w:rsidR="00352ADD">
        <w:t>l</w:t>
      </w:r>
      <w:r w:rsidR="00855D34">
        <w:t>’atteggiamento</w:t>
      </w:r>
      <w:r w:rsidR="00AB7F6E">
        <w:t xml:space="preserve"> sempre più</w:t>
      </w:r>
      <w:r w:rsidR="00855D34">
        <w:t xml:space="preserve"> geloso e</w:t>
      </w:r>
      <w:r w:rsidR="002135B1">
        <w:t xml:space="preserve"> possessivo di Tizio, da un lato, e le </w:t>
      </w:r>
      <w:r w:rsidR="00F3680C">
        <w:t xml:space="preserve">conseguenti </w:t>
      </w:r>
      <w:r w:rsidR="004930D0">
        <w:t>difficoltà psicologiche di Caia</w:t>
      </w:r>
      <w:r w:rsidR="00A900DC">
        <w:t xml:space="preserve"> dall’altro.</w:t>
      </w:r>
    </w:p>
    <w:p w14:paraId="34156CCB" w14:textId="5DC89406" w:rsidR="00D84F65" w:rsidRDefault="004529FB" w:rsidP="004529FB">
      <w:pPr>
        <w:jc w:val="both"/>
      </w:pPr>
      <w:r>
        <w:t>Tizio</w:t>
      </w:r>
      <w:r w:rsidR="00A41854">
        <w:t>,</w:t>
      </w:r>
      <w:r>
        <w:t xml:space="preserve"> </w:t>
      </w:r>
      <w:r w:rsidR="00A41854">
        <w:t>una volta</w:t>
      </w:r>
      <w:r>
        <w:t xml:space="preserve"> tratto in arresto</w:t>
      </w:r>
      <w:r w:rsidR="00A41854">
        <w:t xml:space="preserve">, veniva </w:t>
      </w:r>
      <w:r>
        <w:t xml:space="preserve">interrogato </w:t>
      </w:r>
      <w:r w:rsidR="00A900DC">
        <w:t xml:space="preserve">in carcere </w:t>
      </w:r>
      <w:r>
        <w:t xml:space="preserve">dal Pubblico Ministero </w:t>
      </w:r>
      <w:r w:rsidR="00327227">
        <w:t xml:space="preserve">della Procura presso il Tribunale di Venezia, </w:t>
      </w:r>
      <w:r>
        <w:t>al quale confessava, in presenza del proprio difensore,</w:t>
      </w:r>
      <w:r w:rsidR="00D84F65">
        <w:t xml:space="preserve"> la propria responsabilità.</w:t>
      </w:r>
    </w:p>
    <w:p w14:paraId="41E32736" w14:textId="5A7FD845" w:rsidR="00A41854" w:rsidRDefault="0079216B" w:rsidP="004529FB">
      <w:pPr>
        <w:jc w:val="both"/>
      </w:pPr>
      <w:r>
        <w:t>Il mese successivo</w:t>
      </w:r>
      <w:r w:rsidR="00B6494A">
        <w:t xml:space="preserve"> </w:t>
      </w:r>
      <w:r w:rsidR="00040010">
        <w:t xml:space="preserve">la testata giornalistica </w:t>
      </w:r>
      <w:r w:rsidR="005C4F88">
        <w:t>“</w:t>
      </w:r>
      <w:r w:rsidR="005C4F88" w:rsidRPr="000522DA">
        <w:rPr>
          <w:i/>
          <w:iCs/>
        </w:rPr>
        <w:t>Il Ponte dei Sospiri</w:t>
      </w:r>
      <w:r w:rsidR="005C4F88">
        <w:t>”</w:t>
      </w:r>
      <w:r w:rsidR="00040010">
        <w:t xml:space="preserve"> </w:t>
      </w:r>
      <w:r w:rsidR="00D84F65">
        <w:t>pubblica</w:t>
      </w:r>
      <w:r w:rsidR="00040010">
        <w:t>v</w:t>
      </w:r>
      <w:r w:rsidR="00D84F65">
        <w:t xml:space="preserve">a integralmente </w:t>
      </w:r>
      <w:r w:rsidR="00040010">
        <w:t xml:space="preserve">sul </w:t>
      </w:r>
      <w:r w:rsidR="005C4F88">
        <w:t xml:space="preserve">proprio </w:t>
      </w:r>
      <w:r w:rsidR="00040010">
        <w:t>sito internet</w:t>
      </w:r>
      <w:r w:rsidR="006C1081">
        <w:t xml:space="preserve"> e sulle </w:t>
      </w:r>
      <w:r w:rsidR="005C4F88">
        <w:t>proprie</w:t>
      </w:r>
      <w:r w:rsidR="006C1081">
        <w:t xml:space="preserve"> pagine social, </w:t>
      </w:r>
      <w:r w:rsidR="00040010">
        <w:t xml:space="preserve">il </w:t>
      </w:r>
      <w:r w:rsidR="00021E28">
        <w:t>video</w:t>
      </w:r>
      <w:r w:rsidR="00040010">
        <w:t xml:space="preserve"> </w:t>
      </w:r>
      <w:r w:rsidR="00021E28">
        <w:t>d</w:t>
      </w:r>
      <w:r w:rsidR="005C4F88">
        <w:t>i un</w:t>
      </w:r>
      <w:r w:rsidR="00021E28">
        <w:t xml:space="preserve"> colloquio </w:t>
      </w:r>
      <w:r w:rsidR="005C4F88">
        <w:t xml:space="preserve">avvenuto qualche giorno prima </w:t>
      </w:r>
      <w:r w:rsidR="00021E28">
        <w:t xml:space="preserve">in carcere tra Tizio e i </w:t>
      </w:r>
      <w:r w:rsidR="005C4F88">
        <w:t xml:space="preserve">suoi </w:t>
      </w:r>
      <w:r w:rsidR="00021E28">
        <w:t>genitori</w:t>
      </w:r>
      <w:r w:rsidR="006C1081">
        <w:t xml:space="preserve"> Mevio e Filana</w:t>
      </w:r>
      <w:r w:rsidR="00021E28">
        <w:t xml:space="preserve">, </w:t>
      </w:r>
      <w:r w:rsidR="00A41854">
        <w:t xml:space="preserve">pubblicandone </w:t>
      </w:r>
      <w:r w:rsidR="000522DA">
        <w:t>ampi</w:t>
      </w:r>
      <w:r w:rsidR="00A41854">
        <w:t xml:space="preserve"> stralci </w:t>
      </w:r>
      <w:r w:rsidR="000522DA">
        <w:t xml:space="preserve">anche </w:t>
      </w:r>
      <w:r w:rsidR="000E3A4F">
        <w:t>nell’edizione cartacea</w:t>
      </w:r>
      <w:r w:rsidR="00021E28">
        <w:t>.</w:t>
      </w:r>
    </w:p>
    <w:p w14:paraId="0AF599C2" w14:textId="003C30D5" w:rsidR="00425F56" w:rsidRDefault="000E3A4F" w:rsidP="004529FB">
      <w:pPr>
        <w:jc w:val="both"/>
      </w:pPr>
      <w:r>
        <w:t>In entram</w:t>
      </w:r>
      <w:r w:rsidR="00653182">
        <w:t>bi gli articoli</w:t>
      </w:r>
      <w:r w:rsidR="00021E28">
        <w:t xml:space="preserve">, il giornalista Sempronio criticava pesantemente le parole e l’atteggiamento </w:t>
      </w:r>
      <w:r w:rsidR="00A65629">
        <w:t xml:space="preserve">compassionevole </w:t>
      </w:r>
      <w:r w:rsidR="00E60429">
        <w:t xml:space="preserve">e de-responsabilizzante </w:t>
      </w:r>
      <w:r w:rsidR="00F32801">
        <w:t xml:space="preserve">manifestato in tale contesto </w:t>
      </w:r>
      <w:r w:rsidR="006C1081">
        <w:t>d</w:t>
      </w:r>
      <w:r w:rsidR="00F32801">
        <w:t>a</w:t>
      </w:r>
      <w:r w:rsidR="006C1081">
        <w:t xml:space="preserve"> Mevio</w:t>
      </w:r>
      <w:r w:rsidR="00ED4147">
        <w:t xml:space="preserve"> nei confronti del figlio</w:t>
      </w:r>
      <w:r w:rsidR="00021E28">
        <w:t xml:space="preserve"> </w:t>
      </w:r>
      <w:r w:rsidR="00FA151D">
        <w:t>(</w:t>
      </w:r>
      <w:r w:rsidR="00E60429">
        <w:t xml:space="preserve">preoccupato </w:t>
      </w:r>
      <w:r w:rsidR="002F7D4E">
        <w:t xml:space="preserve">in realtà </w:t>
      </w:r>
      <w:r w:rsidR="00E60429">
        <w:t xml:space="preserve">che </w:t>
      </w:r>
      <w:r w:rsidR="00F32801">
        <w:t>quest’ultimo</w:t>
      </w:r>
      <w:r w:rsidR="00E60429">
        <w:t xml:space="preserve"> potesse togliersi la vita</w:t>
      </w:r>
      <w:r w:rsidR="00FA151D">
        <w:t>)</w:t>
      </w:r>
      <w:r w:rsidR="00E60429">
        <w:t xml:space="preserve">, </w:t>
      </w:r>
      <w:r w:rsidR="00021E28">
        <w:t xml:space="preserve">definendolo </w:t>
      </w:r>
      <w:r w:rsidR="007925B2">
        <w:t xml:space="preserve">Mevio </w:t>
      </w:r>
      <w:bookmarkStart w:id="0" w:name="_Hlk191573052"/>
      <w:r w:rsidR="00A41854">
        <w:t>“</w:t>
      </w:r>
      <w:r w:rsidR="00021E28" w:rsidRPr="00A65629">
        <w:rPr>
          <w:i/>
          <w:iCs/>
        </w:rPr>
        <w:t>un pessimo esempio</w:t>
      </w:r>
      <w:r w:rsidR="00A65629">
        <w:rPr>
          <w:i/>
          <w:iCs/>
        </w:rPr>
        <w:t xml:space="preserve"> di padre</w:t>
      </w:r>
      <w:r w:rsidR="00A41854">
        <w:t>” nonché “</w:t>
      </w:r>
      <w:r w:rsidR="00A41854" w:rsidRPr="00A65629">
        <w:rPr>
          <w:i/>
          <w:iCs/>
        </w:rPr>
        <w:t xml:space="preserve">l’espressione di una cultura patriarcale che ancor oggi alimenta </w:t>
      </w:r>
      <w:r w:rsidR="003447AE">
        <w:rPr>
          <w:i/>
          <w:iCs/>
        </w:rPr>
        <w:t xml:space="preserve">numerosi </w:t>
      </w:r>
      <w:r w:rsidR="00A41854" w:rsidRPr="00A65629">
        <w:rPr>
          <w:i/>
          <w:iCs/>
        </w:rPr>
        <w:t>gravi fatti di cronaca come quello di cui si è reso protagonista Tizio</w:t>
      </w:r>
      <w:r w:rsidR="006C1081">
        <w:t xml:space="preserve">”. </w:t>
      </w:r>
      <w:bookmarkEnd w:id="0"/>
    </w:p>
    <w:p w14:paraId="5922BA6F" w14:textId="7A2C7964" w:rsidR="00D84F65" w:rsidRDefault="008F0BCB" w:rsidP="004529FB">
      <w:pPr>
        <w:jc w:val="both"/>
      </w:pPr>
      <w:r>
        <w:t>Nelle</w:t>
      </w:r>
      <w:r w:rsidR="006C1081">
        <w:t xml:space="preserve"> pagine social della testata comparivano</w:t>
      </w:r>
      <w:r>
        <w:t xml:space="preserve"> ben presto, sotto l’articolo di Sempronio,</w:t>
      </w:r>
      <w:r w:rsidR="006C1081">
        <w:t xml:space="preserve"> </w:t>
      </w:r>
      <w:r w:rsidR="00C126CF">
        <w:t>decine di</w:t>
      </w:r>
      <w:r w:rsidR="006C1081">
        <w:t xml:space="preserve"> messaggi </w:t>
      </w:r>
      <w:r w:rsidR="00345F08">
        <w:t xml:space="preserve">di lettori </w:t>
      </w:r>
      <w:r w:rsidR="006C1081">
        <w:t>dal contenuto</w:t>
      </w:r>
      <w:r w:rsidR="002803BF">
        <w:t xml:space="preserve"> e dal tono</w:t>
      </w:r>
      <w:r w:rsidR="006722C9">
        <w:t>, oltre che critico,</w:t>
      </w:r>
      <w:r w:rsidR="006C1081">
        <w:t xml:space="preserve"> </w:t>
      </w:r>
      <w:r w:rsidR="002803BF">
        <w:t xml:space="preserve">pesantemente </w:t>
      </w:r>
      <w:r w:rsidR="006C1081">
        <w:t xml:space="preserve">offensivo e </w:t>
      </w:r>
      <w:r w:rsidR="002803BF">
        <w:t xml:space="preserve">talora </w:t>
      </w:r>
      <w:r w:rsidR="006C1081">
        <w:t>minatorio nei confronti di Mevio</w:t>
      </w:r>
      <w:r w:rsidR="006722C9">
        <w:t>,</w:t>
      </w:r>
      <w:r w:rsidR="006C1081">
        <w:t xml:space="preserve"> definito “</w:t>
      </w:r>
      <w:r w:rsidR="006C1081" w:rsidRPr="004C4823">
        <w:rPr>
          <w:i/>
          <w:iCs/>
        </w:rPr>
        <w:t>complice</w:t>
      </w:r>
      <w:r w:rsidR="006722C9" w:rsidRPr="004C4823">
        <w:rPr>
          <w:i/>
          <w:iCs/>
        </w:rPr>
        <w:t xml:space="preserve"> dell’omicidio</w:t>
      </w:r>
      <w:r w:rsidR="006C1081">
        <w:t>” e meritevole come il figlio della pena di morte.</w:t>
      </w:r>
    </w:p>
    <w:p w14:paraId="6499A0B4" w14:textId="0689A2DC" w:rsidR="006C1081" w:rsidRDefault="006C1081" w:rsidP="004529FB">
      <w:pPr>
        <w:jc w:val="both"/>
      </w:pPr>
      <w:r>
        <w:t xml:space="preserve">Mevio </w:t>
      </w:r>
      <w:r w:rsidR="00B501AB">
        <w:t>proponeva tempestiva</w:t>
      </w:r>
      <w:r>
        <w:t xml:space="preserve"> querela </w:t>
      </w:r>
      <w:r w:rsidR="00F87A06">
        <w:t xml:space="preserve">per diffamazione aggravata </w:t>
      </w:r>
      <w:r w:rsidR="00225CD9">
        <w:t xml:space="preserve">dal mezzo della stampa </w:t>
      </w:r>
      <w:r>
        <w:t>nei confronti di Sempronio nonché</w:t>
      </w:r>
      <w:r w:rsidR="006A09C8">
        <w:t>,</w:t>
      </w:r>
      <w:r>
        <w:t xml:space="preserve"> ai sensi dell’art. 57 c.p.</w:t>
      </w:r>
      <w:r w:rsidR="006A09C8">
        <w:t>,</w:t>
      </w:r>
      <w:r>
        <w:t xml:space="preserve"> </w:t>
      </w:r>
      <w:r w:rsidR="00BE2A5A">
        <w:t xml:space="preserve">di </w:t>
      </w:r>
      <w:r w:rsidR="004701C3">
        <w:t>Calpurnio</w:t>
      </w:r>
      <w:r w:rsidR="00BE2A5A">
        <w:t xml:space="preserve"> </w:t>
      </w:r>
      <w:r w:rsidR="006A09C8">
        <w:t>(</w:t>
      </w:r>
      <w:r w:rsidR="00BE2A5A">
        <w:t>D</w:t>
      </w:r>
      <w:r>
        <w:t xml:space="preserve">irettore del </w:t>
      </w:r>
      <w:r w:rsidR="006A09C8">
        <w:t xml:space="preserve">giornale </w:t>
      </w:r>
      <w:r w:rsidR="00476193">
        <w:t>“Il Ponte dei Sospiri”),</w:t>
      </w:r>
      <w:r w:rsidR="004701C3">
        <w:t xml:space="preserve"> </w:t>
      </w:r>
      <w:r w:rsidR="00FF75BE">
        <w:t>oltre che</w:t>
      </w:r>
      <w:r>
        <w:t xml:space="preserve"> nei confronti dei singoli autori dei post offensivi e minatori nei suoi confronti.</w:t>
      </w:r>
    </w:p>
    <w:p w14:paraId="0DAAF2AA" w14:textId="16CEB980" w:rsidR="006C1081" w:rsidRDefault="00BE2A5A" w:rsidP="004529FB">
      <w:pPr>
        <w:jc w:val="both"/>
      </w:pPr>
      <w:r>
        <w:t xml:space="preserve">Il Pubblico Ministero, acquisiti gli articoli </w:t>
      </w:r>
      <w:r w:rsidR="0064409E">
        <w:t>pubblicati</w:t>
      </w:r>
      <w:r w:rsidR="00046EEB">
        <w:t xml:space="preserve"> online </w:t>
      </w:r>
      <w:r>
        <w:t xml:space="preserve">nonché acquisito il video del colloquio in carcere </w:t>
      </w:r>
      <w:r w:rsidR="00815114">
        <w:t>(</w:t>
      </w:r>
      <w:r w:rsidR="00046EEB">
        <w:t>successivamente</w:t>
      </w:r>
      <w:r w:rsidR="00815114">
        <w:t xml:space="preserve"> ritenuto irrilevante nel procedimento nei confronti di </w:t>
      </w:r>
      <w:r w:rsidR="00353491">
        <w:t>Tizio</w:t>
      </w:r>
      <w:r w:rsidR="00815114">
        <w:t>)</w:t>
      </w:r>
      <w:r>
        <w:t>, esercitava l’azione penale nei confronti di Sempronio e</w:t>
      </w:r>
      <w:r w:rsidR="00891CA7">
        <w:t xml:space="preserve"> di</w:t>
      </w:r>
      <w:r>
        <w:t xml:space="preserve"> Ca</w:t>
      </w:r>
      <w:r w:rsidR="00BD3BC9">
        <w:t>lpurnio</w:t>
      </w:r>
      <w:r w:rsidR="00FE3D1C">
        <w:t xml:space="preserve"> </w:t>
      </w:r>
      <w:r w:rsidR="00353491">
        <w:t>con le seguenti imputazioni:</w:t>
      </w:r>
    </w:p>
    <w:p w14:paraId="34871655" w14:textId="19D496E6" w:rsidR="00353491" w:rsidRDefault="00353491" w:rsidP="004529FB">
      <w:pPr>
        <w:jc w:val="both"/>
      </w:pPr>
      <w:r>
        <w:tab/>
      </w:r>
      <w:r w:rsidRPr="00353491">
        <w:rPr>
          <w:b/>
          <w:bCs/>
        </w:rPr>
        <w:t>Sempronio</w:t>
      </w:r>
      <w:r>
        <w:t>:</w:t>
      </w:r>
    </w:p>
    <w:p w14:paraId="70B6E144" w14:textId="298E9D50" w:rsidR="00353491" w:rsidRDefault="00353491" w:rsidP="00353491">
      <w:pPr>
        <w:pStyle w:val="Paragrafoelenco"/>
        <w:numPr>
          <w:ilvl w:val="0"/>
          <w:numId w:val="1"/>
        </w:numPr>
        <w:jc w:val="both"/>
      </w:pPr>
      <w:r>
        <w:t xml:space="preserve">Artt. 595, </w:t>
      </w:r>
      <w:r w:rsidR="003E699B">
        <w:t xml:space="preserve">commi 1 e 3, c.p. perché – quale autore dell’articolo apparso sulla testata giornalistica </w:t>
      </w:r>
      <w:r w:rsidR="005848E6">
        <w:t xml:space="preserve">telematica </w:t>
      </w:r>
      <w:r w:rsidR="003E699B">
        <w:t xml:space="preserve">“Il Ponte dei Sospiri” in data 14.4.2024 – offendeva l’onore e il decoro di Mevio definendolo </w:t>
      </w:r>
      <w:r w:rsidR="003E699B" w:rsidRPr="003E699B">
        <w:t>“</w:t>
      </w:r>
      <w:r w:rsidR="003E699B" w:rsidRPr="003E699B">
        <w:rPr>
          <w:i/>
          <w:iCs/>
        </w:rPr>
        <w:t>un pessimo esempio di padre</w:t>
      </w:r>
      <w:r w:rsidR="003E699B" w:rsidRPr="003E699B">
        <w:t>” nonché “</w:t>
      </w:r>
      <w:r w:rsidR="003E699B" w:rsidRPr="003E699B">
        <w:rPr>
          <w:i/>
          <w:iCs/>
        </w:rPr>
        <w:t>l’espressione di una cultura patriarcale che ancor oggi alimenta numerosi gravi fatti di cronaca come quello di cui si è reso protagonista Tizio</w:t>
      </w:r>
      <w:r w:rsidR="003E699B" w:rsidRPr="003E699B">
        <w:t>”</w:t>
      </w:r>
      <w:r w:rsidR="003E699B">
        <w:t>, alludendo all’omicidio attribuito al figlio Tizio e al colloquio in carcere con lo stesso dopo il suo arresto”</w:t>
      </w:r>
      <w:r w:rsidR="0067436E">
        <w:t>.</w:t>
      </w:r>
    </w:p>
    <w:p w14:paraId="5432A7F6" w14:textId="2C52E9E6" w:rsidR="0067436E" w:rsidRDefault="0067436E" w:rsidP="0067436E">
      <w:pPr>
        <w:pStyle w:val="Paragrafoelenco"/>
        <w:jc w:val="both"/>
      </w:pPr>
      <w:r>
        <w:t xml:space="preserve">In Venezia, il 13-14.4.2024 </w:t>
      </w:r>
    </w:p>
    <w:p w14:paraId="22A60042" w14:textId="77777777" w:rsidR="0067436E" w:rsidRDefault="0067436E" w:rsidP="0067436E">
      <w:pPr>
        <w:pStyle w:val="Paragrafoelenco"/>
        <w:jc w:val="both"/>
      </w:pPr>
    </w:p>
    <w:p w14:paraId="108B9DE0" w14:textId="10D46FAF" w:rsidR="0067436E" w:rsidRDefault="0067436E" w:rsidP="0067436E">
      <w:pPr>
        <w:pStyle w:val="Paragrafoelenco"/>
        <w:jc w:val="both"/>
      </w:pPr>
      <w:r w:rsidRPr="0067436E">
        <w:rPr>
          <w:b/>
          <w:bCs/>
        </w:rPr>
        <w:t>Calpurnio</w:t>
      </w:r>
      <w:r>
        <w:t>:</w:t>
      </w:r>
    </w:p>
    <w:p w14:paraId="2B96E66C" w14:textId="7F868A14" w:rsidR="003E699B" w:rsidRDefault="0067436E" w:rsidP="00353491">
      <w:pPr>
        <w:pStyle w:val="Paragrafoelenco"/>
        <w:numPr>
          <w:ilvl w:val="0"/>
          <w:numId w:val="1"/>
        </w:numPr>
        <w:jc w:val="both"/>
      </w:pPr>
      <w:r>
        <w:t>Art. 57</w:t>
      </w:r>
      <w:r w:rsidR="001354A5">
        <w:t xml:space="preserve"> c.p.</w:t>
      </w:r>
      <w:r w:rsidR="00F705D4">
        <w:t>, in relazione all’art. 595</w:t>
      </w:r>
      <w:r w:rsidR="00194E29">
        <w:t>, commi 1 e 3,</w:t>
      </w:r>
      <w:r>
        <w:t xml:space="preserve"> c.p. perché – quale Direttore responsabile del</w:t>
      </w:r>
      <w:r w:rsidR="005848E6">
        <w:t xml:space="preserve">la testata giornalistica telematica </w:t>
      </w:r>
      <w:r>
        <w:t xml:space="preserve">“Il Ponte dei Sospiri” – ometteva di esercitare </w:t>
      </w:r>
      <w:r w:rsidR="005D71BA">
        <w:t xml:space="preserve">il </w:t>
      </w:r>
      <w:r>
        <w:t xml:space="preserve">controllo </w:t>
      </w:r>
      <w:r w:rsidR="005D71BA">
        <w:t>necessario a</w:t>
      </w:r>
      <w:r>
        <w:t xml:space="preserve"> </w:t>
      </w:r>
      <w:r w:rsidR="00A23691">
        <w:t>impedire</w:t>
      </w:r>
      <w:r>
        <w:t xml:space="preserve"> la pubblicazione delle offese indicate nel capo 1 da parte del giornalista Sempronio”.</w:t>
      </w:r>
    </w:p>
    <w:p w14:paraId="5987A859" w14:textId="698012DC" w:rsidR="0067436E" w:rsidRDefault="0067436E" w:rsidP="0067436E">
      <w:pPr>
        <w:pStyle w:val="Paragrafoelenco"/>
        <w:jc w:val="both"/>
      </w:pPr>
      <w:r>
        <w:t>In Venezia, il 13-14.4.2024.</w:t>
      </w:r>
    </w:p>
    <w:p w14:paraId="219AFDED" w14:textId="2005BC5C" w:rsidR="006C1081" w:rsidRDefault="004225BD" w:rsidP="004529FB">
      <w:pPr>
        <w:jc w:val="both"/>
      </w:pPr>
      <w:r>
        <w:t xml:space="preserve">Gli imputati chiedevano definirsi il procedimento con le forme del giudizio abbreviato </w:t>
      </w:r>
      <w:r w:rsidR="00242697">
        <w:t xml:space="preserve">previo esame di entrambi, </w:t>
      </w:r>
      <w:r w:rsidR="0038475B">
        <w:t>in occasione del quale invocavano l</w:t>
      </w:r>
      <w:r w:rsidR="00FD60EC">
        <w:t>e</w:t>
      </w:r>
      <w:r w:rsidR="0038475B">
        <w:t xml:space="preserve"> scriminant</w:t>
      </w:r>
      <w:r w:rsidR="00FD60EC">
        <w:t>i</w:t>
      </w:r>
      <w:r w:rsidR="0038475B">
        <w:t xml:space="preserve"> de</w:t>
      </w:r>
      <w:r w:rsidR="007E76BE">
        <w:t>i diritti di cronaca e di critica.</w:t>
      </w:r>
    </w:p>
    <w:p w14:paraId="5F814B68" w14:textId="51660668" w:rsidR="004F0ED2" w:rsidRPr="004F0ED2" w:rsidRDefault="004F0ED2" w:rsidP="004F0ED2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4F0ED2">
        <w:rPr>
          <w:rFonts w:ascii="Calibri" w:eastAsia="Calibri" w:hAnsi="Calibri" w:cs="Times New Roman"/>
          <w:kern w:val="0"/>
          <w14:ligatures w14:val="none"/>
        </w:rPr>
        <w:t>I candidati, assunte le vesti del difensore de</w:t>
      </w:r>
      <w:r>
        <w:rPr>
          <w:rFonts w:ascii="Calibri" w:eastAsia="Calibri" w:hAnsi="Calibri" w:cs="Times New Roman"/>
          <w:kern w:val="0"/>
          <w14:ligatures w14:val="none"/>
        </w:rPr>
        <w:t xml:space="preserve">gli imputati </w:t>
      </w:r>
      <w:r w:rsidRPr="004F0ED2">
        <w:rPr>
          <w:rFonts w:ascii="Calibri" w:eastAsia="Calibri" w:hAnsi="Calibri" w:cs="Times New Roman"/>
          <w:kern w:val="0"/>
          <w14:ligatures w14:val="none"/>
        </w:rPr>
        <w:t>e d</w:t>
      </w:r>
      <w:r w:rsidR="00A73758">
        <w:rPr>
          <w:rFonts w:ascii="Calibri" w:eastAsia="Calibri" w:hAnsi="Calibri" w:cs="Times New Roman"/>
          <w:kern w:val="0"/>
          <w14:ligatures w14:val="none"/>
        </w:rPr>
        <w:t>el difensore di Mevio,</w:t>
      </w:r>
      <w:r w:rsidRPr="004F0ED2">
        <w:rPr>
          <w:rFonts w:ascii="Calibri" w:eastAsia="Calibri" w:hAnsi="Calibri" w:cs="Times New Roman"/>
          <w:kern w:val="0"/>
          <w14:ligatures w14:val="none"/>
        </w:rPr>
        <w:t xml:space="preserve"> costituit</w:t>
      </w:r>
      <w:r w:rsidR="00A73758">
        <w:rPr>
          <w:rFonts w:ascii="Calibri" w:eastAsia="Calibri" w:hAnsi="Calibri" w:cs="Times New Roman"/>
          <w:kern w:val="0"/>
          <w14:ligatures w14:val="none"/>
        </w:rPr>
        <w:t>osi</w:t>
      </w:r>
      <w:r w:rsidRPr="004F0ED2">
        <w:rPr>
          <w:rFonts w:ascii="Calibri" w:eastAsia="Calibri" w:hAnsi="Calibri" w:cs="Times New Roman"/>
          <w:kern w:val="0"/>
          <w14:ligatures w14:val="none"/>
        </w:rPr>
        <w:t xml:space="preserve"> parte civile, si cimentino nella discussione all’esito del giudizio abbreviato secondo i criteri e lo stile della retorica classica. </w:t>
      </w:r>
    </w:p>
    <w:p w14:paraId="25358E7E" w14:textId="77777777" w:rsidR="004F0ED2" w:rsidRDefault="004F0ED2" w:rsidP="004529FB">
      <w:pPr>
        <w:jc w:val="both"/>
      </w:pPr>
    </w:p>
    <w:p w14:paraId="76581984" w14:textId="77777777" w:rsidR="0037623D" w:rsidRDefault="0037623D" w:rsidP="004529FB">
      <w:pPr>
        <w:jc w:val="both"/>
      </w:pPr>
    </w:p>
    <w:p w14:paraId="78C3A529" w14:textId="02436C41" w:rsidR="00246958" w:rsidRDefault="00246958" w:rsidP="004529FB">
      <w:pPr>
        <w:jc w:val="both"/>
      </w:pPr>
      <w:r>
        <w:t>Riferimenti giurisprudenziali.</w:t>
      </w:r>
    </w:p>
    <w:p w14:paraId="6A0D8CFE" w14:textId="722E0DC6" w:rsidR="00246958" w:rsidRDefault="00246958" w:rsidP="004529FB">
      <w:pPr>
        <w:jc w:val="both"/>
      </w:pPr>
      <w:r>
        <w:t>Diritto di critica:</w:t>
      </w:r>
    </w:p>
    <w:p w14:paraId="79D1132E" w14:textId="6DF5D4F5" w:rsidR="008A5678" w:rsidRDefault="008A5678" w:rsidP="004529FB">
      <w:pPr>
        <w:jc w:val="both"/>
      </w:pPr>
      <w:r w:rsidRPr="008A5678">
        <w:t>Cass. pen., Sez. V, Sent., (data ud. 30/01/2024) 09/04/2024, n. 14402</w:t>
      </w:r>
      <w:r>
        <w:t>;</w:t>
      </w:r>
    </w:p>
    <w:p w14:paraId="707CF700" w14:textId="77725FC5" w:rsidR="0037623D" w:rsidRDefault="00246958" w:rsidP="004529FB">
      <w:pPr>
        <w:jc w:val="both"/>
      </w:pPr>
      <w:r w:rsidRPr="00246958">
        <w:t>Cass. pen., Sez. V, Sent., (data ud. 16/01/2020) 20/04/2020, n. 12460</w:t>
      </w:r>
      <w:r w:rsidR="00961716">
        <w:t>;</w:t>
      </w:r>
    </w:p>
    <w:p w14:paraId="627435A3" w14:textId="0FD15E26" w:rsidR="00961716" w:rsidRDefault="00961716" w:rsidP="004529FB">
      <w:pPr>
        <w:jc w:val="both"/>
      </w:pPr>
      <w:r w:rsidRPr="00961716">
        <w:t>Cass. pen., Sez. V, Sent., (data ud. 18/01/2021) 04/03/2021, n. 8898</w:t>
      </w:r>
      <w:r>
        <w:t>.</w:t>
      </w:r>
    </w:p>
    <w:p w14:paraId="455D7403" w14:textId="416C2AC1" w:rsidR="006C1081" w:rsidRDefault="00246958" w:rsidP="004529FB">
      <w:pPr>
        <w:jc w:val="both"/>
      </w:pPr>
      <w:r>
        <w:t>Diritto di cronaca:</w:t>
      </w:r>
    </w:p>
    <w:p w14:paraId="5D936977" w14:textId="0D4A068C" w:rsidR="008A5678" w:rsidRDefault="008A5678" w:rsidP="004529FB">
      <w:pPr>
        <w:jc w:val="both"/>
      </w:pPr>
      <w:r w:rsidRPr="008A5678">
        <w:t>Cass. civ., Sez. III, Ord., (data ud. 29/01/2024) 05/06/2024, n. 15755</w:t>
      </w:r>
      <w:r>
        <w:t>;</w:t>
      </w:r>
    </w:p>
    <w:p w14:paraId="5748F547" w14:textId="34D80D2D" w:rsidR="00B0798E" w:rsidRDefault="00B0798E" w:rsidP="004529FB">
      <w:pPr>
        <w:jc w:val="both"/>
      </w:pPr>
      <w:r w:rsidRPr="00B0798E">
        <w:t>Cass. pen., Sez. V, Sent., (data ud. 25/06/2021) 21/07/2021, n. 28340</w:t>
      </w:r>
      <w:r>
        <w:t>;</w:t>
      </w:r>
    </w:p>
    <w:p w14:paraId="38D34C9C" w14:textId="6BE9F2D0" w:rsidR="00246958" w:rsidRDefault="00246958" w:rsidP="004529FB">
      <w:pPr>
        <w:jc w:val="both"/>
      </w:pPr>
      <w:r w:rsidRPr="00246958">
        <w:t>Cass. pen., Sez. V, Sent., (data ud. 03/09/2021) 11/11/2021, n. 41013</w:t>
      </w:r>
      <w:r w:rsidR="008A5678">
        <w:t>.</w:t>
      </w:r>
    </w:p>
    <w:sectPr w:rsidR="002469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1EB2"/>
    <w:multiLevelType w:val="hybridMultilevel"/>
    <w:tmpl w:val="8AC65A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44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FB"/>
    <w:rsid w:val="00011C0A"/>
    <w:rsid w:val="00021E28"/>
    <w:rsid w:val="00033A95"/>
    <w:rsid w:val="00040010"/>
    <w:rsid w:val="00046EEB"/>
    <w:rsid w:val="000522DA"/>
    <w:rsid w:val="00095C30"/>
    <w:rsid w:val="000A76FE"/>
    <w:rsid w:val="000C4D4A"/>
    <w:rsid w:val="000C6571"/>
    <w:rsid w:val="000E2005"/>
    <w:rsid w:val="000E3A4F"/>
    <w:rsid w:val="001354A5"/>
    <w:rsid w:val="001403BD"/>
    <w:rsid w:val="00160D63"/>
    <w:rsid w:val="00194E29"/>
    <w:rsid w:val="002135B1"/>
    <w:rsid w:val="00225CD9"/>
    <w:rsid w:val="00242697"/>
    <w:rsid w:val="00246958"/>
    <w:rsid w:val="002803BF"/>
    <w:rsid w:val="002F7D4E"/>
    <w:rsid w:val="00302DC1"/>
    <w:rsid w:val="00315329"/>
    <w:rsid w:val="00327227"/>
    <w:rsid w:val="003447AE"/>
    <w:rsid w:val="00345F08"/>
    <w:rsid w:val="00352ADD"/>
    <w:rsid w:val="00353491"/>
    <w:rsid w:val="0037623D"/>
    <w:rsid w:val="0038475B"/>
    <w:rsid w:val="003E699B"/>
    <w:rsid w:val="004225BD"/>
    <w:rsid w:val="00425F56"/>
    <w:rsid w:val="00447926"/>
    <w:rsid w:val="00450D41"/>
    <w:rsid w:val="004529FB"/>
    <w:rsid w:val="004701C3"/>
    <w:rsid w:val="00476193"/>
    <w:rsid w:val="0047669C"/>
    <w:rsid w:val="004930D0"/>
    <w:rsid w:val="004A559F"/>
    <w:rsid w:val="004C4823"/>
    <w:rsid w:val="004F0ED2"/>
    <w:rsid w:val="0052781B"/>
    <w:rsid w:val="005848E6"/>
    <w:rsid w:val="005C3CB7"/>
    <w:rsid w:val="005C4F88"/>
    <w:rsid w:val="005C5AB1"/>
    <w:rsid w:val="005D0E77"/>
    <w:rsid w:val="005D71BA"/>
    <w:rsid w:val="0064409E"/>
    <w:rsid w:val="00653182"/>
    <w:rsid w:val="006722C9"/>
    <w:rsid w:val="0067436E"/>
    <w:rsid w:val="00691B52"/>
    <w:rsid w:val="006A09C8"/>
    <w:rsid w:val="006C1081"/>
    <w:rsid w:val="006C4F03"/>
    <w:rsid w:val="0079216B"/>
    <w:rsid w:val="007925B2"/>
    <w:rsid w:val="007A296A"/>
    <w:rsid w:val="007A2F6B"/>
    <w:rsid w:val="007E76BE"/>
    <w:rsid w:val="00815114"/>
    <w:rsid w:val="00855D34"/>
    <w:rsid w:val="00877C0A"/>
    <w:rsid w:val="00891CA7"/>
    <w:rsid w:val="00894AC7"/>
    <w:rsid w:val="008A5678"/>
    <w:rsid w:val="008C7B4E"/>
    <w:rsid w:val="008F0BCB"/>
    <w:rsid w:val="009157E9"/>
    <w:rsid w:val="00961716"/>
    <w:rsid w:val="00980E78"/>
    <w:rsid w:val="00993BD0"/>
    <w:rsid w:val="009D3F92"/>
    <w:rsid w:val="00A23691"/>
    <w:rsid w:val="00A26BAC"/>
    <w:rsid w:val="00A41854"/>
    <w:rsid w:val="00A41B3B"/>
    <w:rsid w:val="00A65629"/>
    <w:rsid w:val="00A73758"/>
    <w:rsid w:val="00A900DC"/>
    <w:rsid w:val="00AB7F6E"/>
    <w:rsid w:val="00AD77D1"/>
    <w:rsid w:val="00B0798E"/>
    <w:rsid w:val="00B16087"/>
    <w:rsid w:val="00B230A8"/>
    <w:rsid w:val="00B501AB"/>
    <w:rsid w:val="00B6494A"/>
    <w:rsid w:val="00BA5B83"/>
    <w:rsid w:val="00BD3BC9"/>
    <w:rsid w:val="00BE2A5A"/>
    <w:rsid w:val="00C126CF"/>
    <w:rsid w:val="00C221B6"/>
    <w:rsid w:val="00C56170"/>
    <w:rsid w:val="00C81DD5"/>
    <w:rsid w:val="00CF28E8"/>
    <w:rsid w:val="00D06446"/>
    <w:rsid w:val="00D11529"/>
    <w:rsid w:val="00D32BD4"/>
    <w:rsid w:val="00D84F65"/>
    <w:rsid w:val="00DC54AE"/>
    <w:rsid w:val="00DE48EA"/>
    <w:rsid w:val="00E3123F"/>
    <w:rsid w:val="00E60429"/>
    <w:rsid w:val="00E62C6D"/>
    <w:rsid w:val="00ED4147"/>
    <w:rsid w:val="00F02DCD"/>
    <w:rsid w:val="00F32801"/>
    <w:rsid w:val="00F3680C"/>
    <w:rsid w:val="00F705D4"/>
    <w:rsid w:val="00F87A06"/>
    <w:rsid w:val="00FA151D"/>
    <w:rsid w:val="00FD1B6D"/>
    <w:rsid w:val="00FD60EC"/>
    <w:rsid w:val="00FE3D1C"/>
    <w:rsid w:val="00FE45B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4243"/>
  <w15:chartTrackingRefBased/>
  <w15:docId w15:val="{73A7276B-96CA-4509-91B4-8BCEBCFB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2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29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2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29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29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29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29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29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29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29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29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29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29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29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29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29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29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29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2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2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29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29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29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29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29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29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Serena</dc:creator>
  <cp:keywords/>
  <dc:description/>
  <cp:lastModifiedBy>Stocco</cp:lastModifiedBy>
  <cp:revision>2</cp:revision>
  <cp:lastPrinted>2025-01-14T15:26:00Z</cp:lastPrinted>
  <dcterms:created xsi:type="dcterms:W3CDTF">2025-02-28T10:03:00Z</dcterms:created>
  <dcterms:modified xsi:type="dcterms:W3CDTF">2025-02-28T10:03:00Z</dcterms:modified>
</cp:coreProperties>
</file>